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67208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672084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20840" cy="34290"/>
                    </a:xfrm>
                    <a:prstGeom prst="rect">
                      <a:avLst/>
                    </a:prstGeom>
                    <a:noFill/>
                  </pic:spPr>
                </pic:pic>
              </a:graphicData>
            </a:graphic>
          </wp:anchor>
        </w:drawing>
      </w:r>
    </w:p>
    <w:p>
      <w:pPr>
        <w:jc w:val="center"/>
        <w:ind w:right="-5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72"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31"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May 18, 2026</w:t>
      </w:r>
    </w:p>
    <w:p>
      <w:pPr>
        <w:spacing w:after="0" w:line="221"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36"/>
          <w:szCs w:val="36"/>
          <w:b w:val="1"/>
          <w:bCs w:val="1"/>
          <w:color w:val="auto"/>
        </w:rPr>
        <w:t>Claritev Corporation</w:t>
      </w:r>
    </w:p>
    <w:p>
      <w:pPr>
        <w:spacing w:after="0" w:line="51"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Exact name of registrant as specified in its charter</w:t>
      </w:r>
      <w:r>
        <w:rPr>
          <w:rFonts w:ascii="Times New Roman" w:cs="Times New Roman" w:eastAsia="Times New Roman" w:hAnsi="Times New Roman"/>
          <w:sz w:val="18"/>
          <w:szCs w:val="18"/>
          <w:b w:val="1"/>
          <w:bCs w:val="1"/>
          <w:color w:val="auto"/>
        </w:rPr>
        <w:t>)</w:t>
      </w:r>
    </w:p>
    <w:p>
      <w:pPr>
        <w:sectPr>
          <w:pgSz w:w="11900" w:h="16838" w:orient="portrait"/>
          <w:cols w:equalWidth="0" w:num="1">
            <w:col w:w="10720"/>
          </w:cols>
          <w:pgMar w:left="320" w:top="1440" w:right="859" w:bottom="1440" w:gutter="0" w:footer="0" w:header="0"/>
        </w:sectPr>
      </w:pPr>
    </w:p>
    <w:p>
      <w:pPr>
        <w:spacing w:after="0" w:line="21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7"/>
          <w:szCs w:val="17"/>
          <w:b w:val="1"/>
          <w:bCs w:val="1"/>
          <w:color w:val="auto"/>
        </w:rPr>
        <w:t>001-39228</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84-3536151</w:t>
      </w:r>
    </w:p>
    <w:p>
      <w:pPr>
        <w:spacing w:after="0" w:line="79" w:lineRule="exact"/>
        <w:rPr>
          <w:sz w:val="24"/>
          <w:szCs w:val="24"/>
          <w:color w:val="auto"/>
        </w:rPr>
      </w:pPr>
    </w:p>
    <w:p>
      <w:pPr>
        <w:sectPr>
          <w:pgSz w:w="11900" w:h="16838" w:orient="portrait"/>
          <w:cols w:equalWidth="0" w:num="3">
            <w:col w:w="3660" w:space="720"/>
            <w:col w:w="2500" w:space="720"/>
            <w:col w:w="3120"/>
          </w:cols>
          <w:pgMar w:left="320" w:top="1440" w:right="85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8" w:lineRule="exact"/>
        <w:rPr>
          <w:sz w:val="24"/>
          <w:szCs w:val="24"/>
          <w:color w:val="auto"/>
        </w:rPr>
      </w:pPr>
    </w:p>
    <w:p>
      <w:pPr>
        <w:sectPr>
          <w:pgSz w:w="11900" w:h="16838" w:orient="portrait"/>
          <w:cols w:equalWidth="0" w:num="3">
            <w:col w:w="3040" w:space="720"/>
            <w:col w:w="2320" w:space="720"/>
            <w:col w:w="3920"/>
          </w:cols>
          <w:pgMar w:left="320" w:top="1440" w:right="85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8"/>
          <w:szCs w:val="18"/>
          <w:color w:val="auto"/>
        </w:rPr>
        <w:t>incorporation)</w:t>
      </w:r>
    </w:p>
    <w:p>
      <w:pPr>
        <w:spacing w:after="0" w:line="108"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7900 Tysons One Place, Suite 400</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McLean, Virginia 22102</w:t>
      </w:r>
    </w:p>
    <w:p>
      <w:pPr>
        <w:spacing w:after="0" w:line="9"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(212) 780-2000</w:t>
      </w:r>
    </w:p>
    <w:p>
      <w:pPr>
        <w:spacing w:after="0" w:line="9"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Address, including zip code, and telephone number,</w:t>
      </w:r>
    </w:p>
    <w:p>
      <w:pPr>
        <w:spacing w:after="0" w:line="9"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including area code, of registrant’s principal executive offices</w:t>
      </w:r>
      <w:r>
        <w:rPr>
          <w:rFonts w:ascii="Times New Roman" w:cs="Times New Roman" w:eastAsia="Times New Roman" w:hAnsi="Times New Roman"/>
          <w:sz w:val="18"/>
          <w:szCs w:val="18"/>
          <w:b w:val="1"/>
          <w:bCs w:val="1"/>
          <w:color w:val="auto"/>
        </w:rPr>
        <w:t>)</w:t>
      </w:r>
    </w:p>
    <w:p>
      <w:pPr>
        <w:spacing w:after="0" w:line="396"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3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2280" w:firstLine="8"/>
        <w:spacing w:after="0" w:line="489" w:lineRule="auto"/>
        <w:tabs>
          <w:tab w:leader="none" w:pos="38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37"/>
        </w:trPr>
        <w:tc>
          <w:tcPr>
            <w:tcW w:w="33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5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 of Class A Common Stock,</w:t>
            </w:r>
          </w:p>
        </w:tc>
        <w:tc>
          <w:tcPr>
            <w:tcW w:w="27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CTEV</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0" w:type="dxa"/>
            <w:vAlign w:val="bottom"/>
          </w:tcPr>
          <w:p>
            <w:pPr>
              <w:spacing w:after="0"/>
              <w:rPr>
                <w:sz w:val="1"/>
                <w:szCs w:val="1"/>
                <w:color w:val="auto"/>
              </w:rPr>
            </w:pPr>
          </w:p>
        </w:tc>
      </w:tr>
      <w:tr>
        <w:trPr>
          <w:trHeight w:val="108"/>
        </w:trPr>
        <w:tc>
          <w:tcPr>
            <w:tcW w:w="3580" w:type="dxa"/>
            <w:vAlign w:val="bottom"/>
            <w:gridSpan w:val="2"/>
            <w:vMerge w:val="continue"/>
          </w:tcPr>
          <w:p>
            <w:pPr>
              <w:spacing w:after="0"/>
              <w:rPr>
                <w:sz w:val="9"/>
                <w:szCs w:val="9"/>
                <w:color w:val="auto"/>
              </w:rPr>
            </w:pPr>
          </w:p>
        </w:tc>
        <w:tc>
          <w:tcPr>
            <w:tcW w:w="2700" w:type="dxa"/>
            <w:vAlign w:val="bottom"/>
            <w:gridSpan w:val="2"/>
            <w:vMerge w:val="continue"/>
          </w:tcPr>
          <w:p>
            <w:pPr>
              <w:spacing w:after="0"/>
              <w:rPr>
                <w:sz w:val="9"/>
                <w:szCs w:val="9"/>
                <w:color w:val="auto"/>
              </w:rPr>
            </w:pPr>
          </w:p>
        </w:tc>
        <w:tc>
          <w:tcPr>
            <w:tcW w:w="3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3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$0.0001 par value per share</w:t>
            </w:r>
          </w:p>
        </w:tc>
        <w:tc>
          <w:tcPr>
            <w:tcW w:w="2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64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440" w:right="859" w:bottom="1440" w:gutter="0" w:footer="0" w:header="0"/>
          <w:type w:val="continuous"/>
        </w:sectPr>
      </w:pPr>
    </w:p>
    <w:bookmarkStart w:id="1" w:name="page2"/>
    <w:bookmarkEnd w:id="1"/>
    <w:p>
      <w:pPr>
        <w:spacing w:after="0" w:line="221"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1024255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672084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2084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67208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 article published on Thursday, May 14, 2026 alleges that "DOJ launches criminal antitrust probe into Claritev." In August of 2024, Claritev Corporation (the "Company") received a confidential grand jury subpoena issued by the Antitrust Division of the Department of Justice ("DOJ") in connection with an investigation regarding health insurance. The Company has been cooperating fully with the DOJ and at no point in the subsequent two years has the DOJ informed the Company that it is the target of an investigation. We remain focused on working with clients and partners across the entire healthcare ecosystem to make healthcare more transparent, accessible, and affordable for all consumers.</w:t>
      </w:r>
    </w:p>
    <w:p>
      <w:pPr>
        <w:spacing w:after="0" w:line="2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is furnishing the information in this Item 7.01 of this Current Report on Form 8-K to comply with Regulation FD. Such information shall not be deemed to be "filed" for purposes of Section 18 of the Securities Exchange Act of 1934, as amended (the "Exchange Act"), or otherwise subject to the liabilities of that section, and shall not be deemed to be incorporated by reference into any of the Company’s filings under the Securities Act of 1933, as amended, or the Exchange Act, whether made before or after the date hereof and regardless of any general incorporation language in such filings, except to the extent expressly set forth by specific reference in such a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regarding our opinions, beliefs, business plans and expectations. These forward-looking statements can generally be identified by the use of forward-looking terminology, including the terms "believes," "anticipates," "expects," "continues," "intends," "plans," "may," "will” or "should" or, in each case, their negative or other variations or comparable terminology. These statements include all matters that are not historical facts. They appear throughout this Current Report on Form 8-K, including, but not limited to, statements regarding our continued involvement in an investigation by the Department of Justice and our ability to continue to focus on our work in the healthcare space. Such forward-looking statements are based on available current information and management’s expectations and beliefs concerning future events impacting the business. Although we believe that these forward-looking statements are based on reasonable assumptions at the time they are made, you should be aware that these forward-looking statements involve a number of risks, uncertainties (some of which are beyond our control) or other assumptions that may cause actual events and results to be materially different from those expressed or implied by these forward-looking statements. These risks and uncertainties include, but are not limited to, those factors described in our Annual Report on Form 10-K, our Quarterly Reports on Form 10-Q, and other documents filed or to be filed with the Securities and Exchange Commission by us. Should one or more of these risks or uncertainties materialize, or should any of the assumptions prove incorrect, actual events and results may differ materially from those included in these forward-looking statements. We undertake no obligation to update these statements as a result of new information or future events or otherwise, except as may be required under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Dated:</w:t>
        <w:tab/>
        <w:t>May 18, 2026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Claritev Corporation</w:t>
      </w:r>
    </w:p>
    <w:p>
      <w:pPr>
        <w:spacing w:after="0" w:line="252" w:lineRule="exact"/>
        <w:rPr>
          <w:sz w:val="20"/>
          <w:szCs w:val="20"/>
          <w:color w:val="auto"/>
        </w:rPr>
      </w:pPr>
    </w:p>
    <w:p>
      <w:pPr>
        <w:ind w:left="1440"/>
        <w:spacing w:after="0"/>
        <w:tabs>
          <w:tab w:leader="none" w:pos="1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Douglas M. Garis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1198245</wp:posOffset>
            </wp:positionH>
            <wp:positionV relativeFrom="paragraph">
              <wp:posOffset>-7620</wp:posOffset>
            </wp:positionV>
            <wp:extent cx="1209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7" w:lineRule="exact"/>
        <w:rPr>
          <w:sz w:val="20"/>
          <w:szCs w:val="20"/>
          <w:color w:val="auto"/>
        </w:rPr>
      </w:pPr>
    </w:p>
    <w:p>
      <w:pPr>
        <w:ind w:left="1440"/>
        <w:spacing w:after="0"/>
        <w:tabs>
          <w:tab w:leader="none" w:pos="2080" w:val="left"/>
        </w:tabs>
        <w:rPr>
          <w:sz w:val="20"/>
          <w:szCs w:val="20"/>
          <w:color w:val="auto"/>
        </w:rPr>
      </w:pPr>
      <w:r>
        <w:rPr>
          <w:rFonts w:ascii="Times New Roman" w:cs="Times New Roman" w:eastAsia="Times New Roman" w:hAnsi="Times New Roman"/>
          <w:sz w:val="18"/>
          <w:szCs w:val="18"/>
          <w:color w:val="auto"/>
        </w:rPr>
        <w:t>Name:</w:t>
        <w:tab/>
        <w:t>Douglas M. Garis</w:t>
      </w:r>
    </w:p>
    <w:p>
      <w:pPr>
        <w:spacing w:after="0" w:line="9" w:lineRule="exact"/>
        <w:rPr>
          <w:sz w:val="20"/>
          <w:szCs w:val="20"/>
          <w:color w:val="auto"/>
        </w:rPr>
      </w:pPr>
    </w:p>
    <w:p>
      <w:pPr>
        <w:ind w:left="1440"/>
        <w:spacing w:after="0"/>
        <w:tabs>
          <w:tab w:leader="none" w:pos="1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Chief Financial Officer</w:t>
      </w:r>
    </w:p>
    <w:sectPr>
      <w:pgSz w:w="11900" w:h="16838" w:orient="portrait"/>
      <w:cols w:equalWidth="0" w:num="1">
        <w:col w:w="11200"/>
      </w:cols>
      <w:pgMar w:left="320" w:top="10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2026-05-18T11:02:45Z</dcterms:created>
  <dcterms:modified xsi:type="dcterms:W3CDTF">2026-05-18T11:02:45Z</dcterms:modified>
</cp:coreProperties>
</file>