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22,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Claritev Corporation</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Exact name of registrant as specified in its charter</w:t>
      </w:r>
      <w:r>
        <w:rPr>
          <w:rFonts w:ascii="Times New Roman;serif" w:hAnsi="Times New Roman;serif"/>
          <w:b/>
          <w:color w:val="000000"/>
          <w:sz w:val="20"/>
        </w:rPr>
        <w:t>)</w:t>
      </w:r>
    </w:p>
    <w:tbl>
      <w:tblPr>
        <w:tblW w:w="9514" w:type="dxa"/>
        <w:jc w:val="left"/>
        <w:tblInd w:w="0" w:type="dxa"/>
        <w:tblLayout w:type="fixed"/>
        <w:tblCellMar>
          <w:top w:w="28" w:type="dxa"/>
          <w:left w:w="28" w:type="dxa"/>
          <w:bottom w:w="28" w:type="dxa"/>
          <w:right w:w="28" w:type="dxa"/>
        </w:tblCellMar>
      </w:tblPr>
      <w:tblGrid>
        <w:gridCol w:w="1328"/>
        <w:gridCol w:w="1167"/>
        <w:gridCol w:w="1179"/>
        <w:gridCol w:w="109"/>
        <w:gridCol w:w="109"/>
        <w:gridCol w:w="109"/>
        <w:gridCol w:w="253"/>
        <w:gridCol w:w="253"/>
        <w:gridCol w:w="253"/>
        <w:gridCol w:w="253"/>
        <w:gridCol w:w="253"/>
        <w:gridCol w:w="253"/>
        <w:gridCol w:w="253"/>
        <w:gridCol w:w="253"/>
        <w:gridCol w:w="267"/>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84-3536151</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76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7900 Tysons One Place, Suite 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McLean, Virginia 22102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780-2000</w:t>
      </w:r>
    </w:p>
    <w:p>
      <w:pPr>
        <w:pStyle w:val="TextBody"/>
        <w:bidi w:val="0"/>
        <w:spacing w:lineRule="auto" w:line="288" w:before="0" w:after="0"/>
        <w:jc w:val="center"/>
        <w:rPr/>
      </w:pPr>
      <w:r>
        <w:rPr>
          <w:rFonts w:ascii="Times New Roman;serif" w:hAnsi="Times New Roman;serif"/>
          <w:b/>
          <w:color w:val="000000"/>
          <w:sz w:val="20"/>
        </w:rPr>
        <w:t>(</w:t>
      </w:r>
      <w:r>
        <w:rPr>
          <w:rFonts w:ascii="Times New Roman;serif" w:hAnsi="Times New Roman;serif"/>
          <w:b w:val="false"/>
          <w:color w:val="000000"/>
          <w:sz w:val="20"/>
        </w:rPr>
        <w:t>Address, including zip code, and telephone number,</w:t>
      </w:r>
    </w:p>
    <w:p>
      <w:pPr>
        <w:pStyle w:val="TextBody"/>
        <w:bidi w:val="0"/>
        <w:spacing w:lineRule="auto" w:line="288" w:before="0" w:after="0"/>
        <w:jc w:val="center"/>
        <w:rPr/>
      </w:pPr>
      <w:r>
        <w:rPr>
          <w:rFonts w:ascii="Times New Roman;serif" w:hAnsi="Times New Roman;serif"/>
          <w:b w:val="false"/>
          <w:color w:val="000000"/>
          <w:sz w:val="20"/>
        </w:rPr>
        <w:t>including area code, of registrant’s principal executive offices</w:t>
      </w:r>
      <w:r>
        <w:rPr>
          <w:rFonts w:ascii="Times New Roman;serif" w:hAnsi="Times New Roman;serif"/>
          <w:b/>
          <w:color w:val="000000"/>
          <w:sz w:val="20"/>
        </w:rPr>
        <w:t>)</w:t>
      </w:r>
    </w:p>
    <w:p>
      <w:pPr>
        <w:pStyle w:val="TextBody"/>
        <w:bidi w:val="0"/>
        <w:spacing w:before="0" w:after="0"/>
        <w:jc w:val="center"/>
        <w:rPr/>
      </w:pPr>
      <w:r>
        <w:rPr/>
      </w:r>
    </w:p>
    <w:p>
      <w:pPr>
        <w:pStyle w:val="TextBody"/>
        <w:bidi w:val="0"/>
        <w:spacing w:lineRule="auto" w:line="26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200" w:after="283"/>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200" w:after="283"/>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2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2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93" w:type="dxa"/>
        <w:jc w:val="left"/>
        <w:tblInd w:w="0" w:type="dxa"/>
        <w:tblLayout w:type="fixed"/>
        <w:tblCellMar>
          <w:top w:w="28" w:type="dxa"/>
          <w:left w:w="28" w:type="dxa"/>
          <w:bottom w:w="28" w:type="dxa"/>
          <w:right w:w="28" w:type="dxa"/>
        </w:tblCellMar>
      </w:tblPr>
      <w:tblGrid>
        <w:gridCol w:w="1087"/>
        <w:gridCol w:w="954"/>
        <w:gridCol w:w="958"/>
        <w:gridCol w:w="109"/>
        <w:gridCol w:w="109"/>
        <w:gridCol w:w="109"/>
        <w:gridCol w:w="274"/>
        <w:gridCol w:w="274"/>
        <w:gridCol w:w="276"/>
        <w:gridCol w:w="109"/>
        <w:gridCol w:w="109"/>
        <w:gridCol w:w="109"/>
        <w:gridCol w:w="971"/>
        <w:gridCol w:w="971"/>
        <w:gridCol w:w="137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99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Shares of Class A Common Stock,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CTEV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160" w:after="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Item 7.01</w:t>
      </w:r>
      <w:r>
        <w:rPr>
          <w:color w:val="000000"/>
        </w:rPr>
        <w:t>    </w:t>
      </w:r>
      <w:r>
        <w:rPr>
          <w:rFonts w:ascii="Times New Roman;serif" w:hAnsi="Times New Roman;serif"/>
          <w:b/>
          <w:color w:val="000000"/>
          <w:sz w:val="20"/>
        </w:rPr>
        <w:t>Regulation FD Disclosure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stated in the Form 8-K filed on May 18, 2026, in August 2024 Claritev Corporation (the "Company") received a confidential grand jury subpoena issued by the Antitrust Division of the Department of Justice ("DOJ") in connection with an investigation regarding health insurance. On June 17, 2026, the Antitrust Division informed the Company that this antitrust grand jury proceeding is being brought to a close and that the Company is not under any criminal investigation. We welcome the closure and continue to stand by our position that our solutions and data platform comply with antitrust laws. On May 19, 2026, the Company received a civil investigative demand from the Antitrust Division and is cooperating fully with the DOJ in responding to the information requested. The Company remains focused on working with clients, partners and employers across the entire healthcare ecosystem to make healthcare more transparent, accessible, and affordable for all consumers.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furnishing the information in this Item 7.01 of this Current Report on Form 8-K to comply with Regulation FD. Such information shall not be deemed to be "filed" for purposes of Section 18 of the Securities Exchange Act of 1934, as amended (the "Exchange Act"), or otherwise subject to the liabilities of that section, and shall not be deemed to be incorporated by reference into any of the Company’s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pStyle w:val="TextBody"/>
        <w:bidi w:val="0"/>
        <w:spacing w:lineRule="auto" w:line="288" w:before="1" w:after="1"/>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regarding our opinions, beliefs, business plans and expectations. These forward-looking statements can generally be identified by the use of forward-looking terminology, including the terms "believes," "anticipates," "expects," "continues," "intends," "plans," "may," "will” or "should" or, in each case, their negative or other variations or comparable terminology. These statements include all matters that are not historical facts. They appear throughout this Current Report on Form 8-K, including, but not limited to, statements regarding our involvement in an investigation by the DOJ and our ability to continue to focus on our work in the healthcare ecosystem. Such forward-looking statements are based on available current information and management’s expectations and beliefs concerning future events impacting the business. Although we believe that these forward-looking statements are based on reasonable assumptions at the time they are made, you should be aware that these forward-looking statements involve a number of risks, uncertainties (some of which are beyond our control) or other assumptions that may cause actual events and results to be materially different from those expressed or implied by these forward-looking statements. These risks and uncertainties include, but are not limited to, those factors described in our Annual Report on Form 10-K, our Quarterly Reports on Form 10-Q, and other documents filed or to be filed with the Securities and Exchange Commission by us. Should one or more of these risks or uncertainties materialize, or should any of the assumptions prove incorrect, actual events and results may differ materially from those included in these forward-looking statements. We undertake no obligation to update these statements as a result of new information or future events or otherwise, except as may be required under applicable securities laws.</w:t>
      </w:r>
    </w:p>
    <w:p>
      <w:pPr>
        <w:pStyle w:val="TextBody"/>
        <w:bidi w:val="0"/>
        <w:spacing w:before="1"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June 22,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Claritev Corporation</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By:    </w:t>
      </w:r>
      <w:r>
        <w:rPr>
          <w:rFonts w:ascii="Times New Roman;serif" w:hAnsi="Times New Roman;serif"/>
          <w:b w:val="false"/>
          <w:color w:val="000000"/>
          <w:sz w:val="20"/>
          <w:u w:val="single"/>
        </w:rPr>
        <w:t>/s/ Douglas M. Garis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Name:    Douglas M. Garis</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Title:    Executive Vice President and Chief Financial Officer </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918</Words>
  <Characters>5088</Characters>
  <CharactersWithSpaces>6126</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