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526" w:type="dxa"/>
        <w:jc w:val="left"/>
        <w:tblInd w:w="0" w:type="dxa"/>
        <w:tblLayout w:type="fixed"/>
        <w:tblCellMar>
          <w:top w:w="28" w:type="dxa"/>
          <w:left w:w="28" w:type="dxa"/>
          <w:bottom w:w="28" w:type="dxa"/>
          <w:right w:w="28" w:type="dxa"/>
        </w:tblCellMar>
      </w:tblPr>
      <w:tblGrid>
        <w:gridCol w:w="6526"/>
      </w:tblGrid>
      <w:tr>
        <w:trPr/>
        <w:tc>
          <w:tcPr>
            <w:tcW w:w="652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52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526" w:type="dxa"/>
            <w:tcBorders/>
            <w:vAlign w:val="center"/>
          </w:tcPr>
          <w:p>
            <w:pPr>
              <w:pStyle w:val="TableContents"/>
              <w:bidi w:val="0"/>
              <w:spacing w:before="0" w:after="0"/>
              <w:jc w:val="left"/>
              <w:rPr/>
            </w:pPr>
            <w:r>
              <w:rPr/>
              <w:t xml:space="preserve">UNDER THE SECURITIES EXCHANGE ACT OF 1934 </w:t>
            </w:r>
          </w:p>
        </w:tc>
      </w:tr>
      <w:tr>
        <w:trPr/>
        <w:tc>
          <w:tcPr>
            <w:tcW w:w="652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6526" w:type="dxa"/>
            <w:tcBorders/>
            <w:vAlign w:val="center"/>
          </w:tcPr>
          <w:p>
            <w:pPr>
              <w:pStyle w:val="TableContents"/>
              <w:bidi w:val="0"/>
              <w:spacing w:before="0" w:after="0"/>
              <w:jc w:val="center"/>
              <w:rPr>
                <w:b/>
                <w:color w:val="0000FF"/>
              </w:rPr>
            </w:pPr>
            <w:r>
              <w:rPr>
                <w:b/>
                <w:color w:val="0000FF"/>
              </w:rPr>
              <w:t>CLARITEV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526" w:type="dxa"/>
            <w:tcBorders/>
            <w:vAlign w:val="center"/>
          </w:tcPr>
          <w:p>
            <w:pPr>
              <w:pStyle w:val="TableContents"/>
              <w:bidi w:val="0"/>
              <w:spacing w:before="0" w:after="0"/>
              <w:jc w:val="center"/>
              <w:rPr>
                <w:b/>
                <w:color w:val="0000FF"/>
              </w:rPr>
            </w:pPr>
            <w:r>
              <w:rPr>
                <w:b/>
                <w:color w:val="0000FF"/>
              </w:rPr>
              <w:t>Shares of 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52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526" w:type="dxa"/>
            <w:tcBorders/>
            <w:vAlign w:val="center"/>
          </w:tcPr>
          <w:p>
            <w:pPr>
              <w:pStyle w:val="TableContents"/>
              <w:bidi w:val="0"/>
              <w:spacing w:before="0" w:after="0"/>
              <w:jc w:val="center"/>
              <w:rPr>
                <w:b/>
                <w:color w:val="0000FF"/>
              </w:rPr>
            </w:pPr>
            <w:r>
              <w:rPr>
                <w:b/>
                <w:color w:val="0000FF"/>
              </w:rPr>
              <w:t>09/22/2026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GIC Private Limited</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GIC Special Investments Private Limited</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Viggo Investment Pte. Ltd.</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4"/>
        <w:gridCol w:w="8936"/>
        <w:gridCol w:w="155"/>
      </w:tblGrid>
      <w:tr>
        <w:trPr/>
        <w:tc>
          <w:tcPr>
            <w:tcW w:w="1114" w:type="dxa"/>
            <w:tcBorders/>
            <w:vAlign w:val="center"/>
          </w:tcPr>
          <w:p>
            <w:pPr>
              <w:pStyle w:val="TableContents"/>
              <w:bidi w:val="0"/>
              <w:spacing w:before="0" w:after="283"/>
              <w:jc w:val="left"/>
              <w:rPr/>
            </w:pPr>
            <w:r>
              <w:rPr/>
              <w:t>Item 1.</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issuer: </w:t>
            </w:r>
          </w:p>
          <w:p>
            <w:pPr>
              <w:pStyle w:val="TableContents"/>
              <w:bidi w:val="0"/>
              <w:spacing w:before="0" w:after="0"/>
              <w:jc w:val="left"/>
              <w:rPr/>
            </w:pPr>
            <w:r>
              <w:rPr/>
              <w:t>CLARITEV CORPORATION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7900 Tysons One Place, Suite 400, McLean, Virginia 22102</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2.</w:t>
            </w:r>
          </w:p>
        </w:tc>
        <w:tc>
          <w:tcPr>
            <w:tcW w:w="893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Name of person filing: </w:t>
            </w:r>
          </w:p>
          <w:p>
            <w:pPr>
              <w:pStyle w:val="TableContents"/>
              <w:bidi w:val="0"/>
              <w:spacing w:before="0" w:after="0"/>
              <w:jc w:val="left"/>
              <w:rPr/>
            </w:pPr>
            <w:r>
              <w:rPr/>
              <w:t>GIC Private Limited ("GIC")</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168 Robinson Road #37-01 Capital Tower Singapore 068912</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jc w:val="left"/>
              <w:rPr/>
            </w:pPr>
            <w:r>
              <w:rPr/>
              <w:t xml:space="preserve">Citizenship: </w:t>
            </w:r>
          </w:p>
          <w:p>
            <w:pPr>
              <w:pStyle w:val="TableContents"/>
              <w:bidi w:val="0"/>
              <w:spacing w:before="0" w:after="0"/>
              <w:jc w:val="left"/>
              <w:rPr/>
            </w:pPr>
            <w:r>
              <w:rPr/>
              <w:t>GIC Private Limited - Republic of Singapore</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Shares of 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3.</w:t>
            </w:r>
          </w:p>
        </w:tc>
        <w:tc>
          <w:tcPr>
            <w:tcW w:w="893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(d)</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(e)</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(f)</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(g)</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(h)</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(j)</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(k)</w:t>
            </w:r>
          </w:p>
        </w:tc>
        <w:tc>
          <w:tcPr>
            <w:tcW w:w="893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9091" w:type="dxa"/>
            <w:gridSpan w:val="2"/>
            <w:tcBorders/>
            <w:vAlign w:val="center"/>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4.</w:t>
            </w:r>
          </w:p>
        </w:tc>
        <w:tc>
          <w:tcPr>
            <w:tcW w:w="893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(a)</w:t>
            </w:r>
          </w:p>
        </w:tc>
        <w:tc>
          <w:tcPr>
            <w:tcW w:w="893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 (1), (2) (1) Ownership information with respect to GIC Private Limited, GIC Special Investments Private Limited and Viggo Investment Pte. Ltd. is incorporated by reference through items (5) through (9) and (11) of the cover page for each entity. (2) Viggo Investment Pte. Ltd. shares the power to vote and the power to dispose of all of the shares of Class A Common Stock, $0.0001 par value per share, of the Issuer held directly by it with GIC Special Investments Private Limited and GIC Private Limited. GIC Special Investments Private Limited is wholly owned by GIC Private Limited and is the private equity investment arm of GIC Private Limited. GIC disclaims membership in a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(b)</w:t>
            </w:r>
          </w:p>
        </w:tc>
        <w:tc>
          <w:tcPr>
            <w:tcW w:w="893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(c)</w:t>
            </w:r>
          </w:p>
        </w:tc>
        <w:tc>
          <w:tcPr>
            <w:tcW w:w="893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(1),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(1),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(1),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(1),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5.</w:t>
            </w:r>
          </w:p>
        </w:tc>
        <w:tc>
          <w:tcPr>
            <w:tcW w:w="893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6.</w:t>
            </w:r>
          </w:p>
        </w:tc>
        <w:tc>
          <w:tcPr>
            <w:tcW w:w="893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7.</w:t>
            </w:r>
          </w:p>
        </w:tc>
        <w:tc>
          <w:tcPr>
            <w:tcW w:w="893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8.</w:t>
            </w:r>
          </w:p>
        </w:tc>
        <w:tc>
          <w:tcPr>
            <w:tcW w:w="893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Item 9.</w:t>
            </w:r>
          </w:p>
        </w:tc>
        <w:tc>
          <w:tcPr>
            <w:tcW w:w="893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4"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GIC Private Limited</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Wong Hui Ping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Wong Hui Ping/Senior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Toh Tze Meng</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Toh Tze Meng/Senior Vice President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8412" w:type="dxa"/>
        <w:jc w:val="left"/>
        <w:tblInd w:w="0" w:type="dxa"/>
        <w:tblLayout w:type="fixed"/>
        <w:tblCellMar>
          <w:top w:w="28" w:type="dxa"/>
          <w:left w:w="28" w:type="dxa"/>
          <w:bottom w:w="28" w:type="dxa"/>
          <w:right w:w="28" w:type="dxa"/>
        </w:tblCellMar>
      </w:tblPr>
      <w:tblGrid>
        <w:gridCol w:w="4206"/>
        <w:gridCol w:w="4206"/>
      </w:tblGrid>
      <w:tr>
        <w:trPr/>
        <w:tc>
          <w:tcPr>
            <w:tcW w:w="4206" w:type="dxa"/>
            <w:tcBorders/>
            <w:vAlign w:val="center"/>
          </w:tcPr>
          <w:p>
            <w:pPr>
              <w:pStyle w:val="TableContents"/>
              <w:bidi w:val="0"/>
              <w:spacing w:before="0" w:after="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0"/>
                    <w:jc w:val="left"/>
                    <w:rPr/>
                  </w:pPr>
                  <w:r>
                    <w:rPr/>
                    <w:t>GIC Special Investments Private Limited</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Sensen Lin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Sensen Lin/Authorized Signatory for GIC SI</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Viggo Investment Pte. Ltd.</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Maria Lim Peiyu</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Maria Lim Peiyu/Vice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1142</Words>
  <Characters>5793</Characters>
  <CharactersWithSpaces>6885</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