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July 6,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Claritev Corporation</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val="false"/>
          <w:color w:val="000000"/>
          <w:sz w:val="20"/>
        </w:rPr>
        <w:t>Exact name of registrant as specified in its charter</w:t>
      </w:r>
      <w:r>
        <w:rPr>
          <w:rFonts w:ascii="Times New Roman;serif" w:hAnsi="Times New Roman;serif"/>
          <w:b/>
          <w:color w:val="000000"/>
          <w:sz w:val="20"/>
        </w:rPr>
        <w:t>)</w:t>
      </w:r>
    </w:p>
    <w:tbl>
      <w:tblPr>
        <w:tblW w:w="9514" w:type="dxa"/>
        <w:jc w:val="left"/>
        <w:tblInd w:w="0" w:type="dxa"/>
        <w:tblLayout w:type="fixed"/>
        <w:tblCellMar>
          <w:top w:w="28" w:type="dxa"/>
          <w:left w:w="28" w:type="dxa"/>
          <w:bottom w:w="28" w:type="dxa"/>
          <w:right w:w="28" w:type="dxa"/>
        </w:tblCellMar>
      </w:tblPr>
      <w:tblGrid>
        <w:gridCol w:w="1328"/>
        <w:gridCol w:w="1167"/>
        <w:gridCol w:w="1179"/>
        <w:gridCol w:w="109"/>
        <w:gridCol w:w="109"/>
        <w:gridCol w:w="109"/>
        <w:gridCol w:w="253"/>
        <w:gridCol w:w="253"/>
        <w:gridCol w:w="253"/>
        <w:gridCol w:w="253"/>
        <w:gridCol w:w="253"/>
        <w:gridCol w:w="253"/>
        <w:gridCol w:w="253"/>
        <w:gridCol w:w="253"/>
        <w:gridCol w:w="267"/>
        <w:gridCol w:w="109"/>
        <w:gridCol w:w="109"/>
        <w:gridCol w:w="109"/>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001-39228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84-3536151</w:t>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76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7900 Tysons One Place, Suite 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McLean, Virginia 22102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780-2000</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val="false"/>
          <w:color w:val="000000"/>
          <w:sz w:val="20"/>
        </w:rPr>
        <w:t>Address, including zip code, and telephone number,</w:t>
      </w:r>
    </w:p>
    <w:p>
      <w:pPr>
        <w:pStyle w:val="TextBody"/>
        <w:bidi w:val="0"/>
        <w:spacing w:lineRule="auto" w:line="288" w:before="0" w:after="0"/>
        <w:jc w:val="center"/>
        <w:rPr/>
      </w:pPr>
      <w:r>
        <w:rPr>
          <w:rFonts w:ascii="Times New Roman;serif" w:hAnsi="Times New Roman;serif"/>
          <w:b w:val="false"/>
          <w:color w:val="000000"/>
          <w:sz w:val="20"/>
        </w:rPr>
        <w:t>including area code, of registrant’s principal executive offices</w:t>
      </w:r>
      <w:r>
        <w:rPr>
          <w:rFonts w:ascii="Times New Roman;serif" w:hAnsi="Times New Roman;serif"/>
          <w:b/>
          <w:color w:val="000000"/>
          <w:sz w:val="20"/>
        </w:rPr>
        <w:t>)</w:t>
      </w:r>
    </w:p>
    <w:p>
      <w:pPr>
        <w:pStyle w:val="TextBody"/>
        <w:bidi w:val="0"/>
        <w:spacing w:before="0" w:after="0"/>
        <w:jc w:val="center"/>
        <w:rPr/>
      </w:pPr>
      <w:r>
        <w:rPr/>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200" w:after="283"/>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200" w:after="283"/>
        <w:jc w:val="left"/>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200" w:after="283"/>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200" w:after="283"/>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793" w:type="dxa"/>
        <w:jc w:val="left"/>
        <w:tblInd w:w="0" w:type="dxa"/>
        <w:tblLayout w:type="fixed"/>
        <w:tblCellMar>
          <w:top w:w="28" w:type="dxa"/>
          <w:left w:w="28" w:type="dxa"/>
          <w:bottom w:w="28" w:type="dxa"/>
          <w:right w:w="28" w:type="dxa"/>
        </w:tblCellMar>
      </w:tblPr>
      <w:tblGrid>
        <w:gridCol w:w="1087"/>
        <w:gridCol w:w="954"/>
        <w:gridCol w:w="958"/>
        <w:gridCol w:w="109"/>
        <w:gridCol w:w="109"/>
        <w:gridCol w:w="109"/>
        <w:gridCol w:w="274"/>
        <w:gridCol w:w="274"/>
        <w:gridCol w:w="276"/>
        <w:gridCol w:w="109"/>
        <w:gridCol w:w="109"/>
        <w:gridCol w:w="109"/>
        <w:gridCol w:w="971"/>
        <w:gridCol w:w="971"/>
        <w:gridCol w:w="1374"/>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99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Shares of Class A Common Stock,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CTEV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00" w:after="283"/>
        <w:jc w:val="left"/>
        <w:rPr/>
      </w:pPr>
      <w:r>
        <w:rPr/>
      </w:r>
    </w:p>
    <w:p>
      <w:pPr>
        <w:pStyle w:val="TextBody"/>
        <w:bidi w:val="0"/>
        <w:spacing w:lineRule="auto" w:line="288" w:before="160" w:after="6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 xml:space="preserve">Item 8.01 Other Information </w:t>
      </w:r>
      <w:r>
        <w:rPr>
          <w:color w:val="000000"/>
        </w:rPr>
        <w:t>    </w:t>
      </w:r>
    </w:p>
    <w:p>
      <w:pPr>
        <w:pStyle w:val="TextBody"/>
        <w:bidi w:val="0"/>
        <w:spacing w:before="1" w:after="1"/>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6, 2026, Claritev Corporation (“Claritev”) was notified of the death of Mr. John Prince. Mr. Prince served as a respected member of the Claritev Board of Directors since June 2023 and served on the Audit Committee at the time of his death. He will be greatly missed.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Dated:    July 6, 2026</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Claritev Corporation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0"/>
        </w:rPr>
        <w:t>By:    </w:t>
      </w:r>
      <w:r>
        <w:rPr>
          <w:rFonts w:ascii="Times New Roman;serif" w:hAnsi="Times New Roman;serif"/>
          <w:b w:val="false"/>
          <w:color w:val="000000"/>
          <w:sz w:val="20"/>
          <w:u w:val="single"/>
        </w:rPr>
        <w:t>/s/ Douglas M. Garis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Name:    Douglas M. Garis</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Title:    Executive Vice President and Chief Financial Officer </w:t>
      </w:r>
    </w:p>
    <w:p>
      <w:pPr>
        <w:pStyle w:val="TextBody"/>
        <w:bidi w:val="0"/>
        <w:spacing w:before="0" w:after="0"/>
        <w:jc w:val="both"/>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409</Words>
  <Characters>2212</Characters>
  <CharactersWithSpaces>2747</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