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7222.xml.htm"/>
      <w:bookmarkStart w:id="1" w:name="kswkform4_17870872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Misencik Tiffani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CLARITEV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7900 TYSONS ONE PLACE,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Claritev Corp</w:t>
              </w:r>
            </w:hyperlink>
            <w:r>
              <w:rPr/>
              <w:t xml:space="preserve"> [ </w:t>
            </w:r>
            <w:r>
              <w:rPr>
                <w:rFonts w:ascii="Times;serif" w:hAnsi="Times;serif"/>
                <w:color w:val="0000FF"/>
                <w:sz w:val="24"/>
                <w:shd w:fill="FFFFFF" w:val="clear"/>
              </w:rPr>
              <w:t>CTEV</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3"/>
        <w:gridCol w:w="905"/>
        <w:gridCol w:w="774"/>
        <w:gridCol w:w="601"/>
        <w:gridCol w:w="348"/>
        <w:gridCol w:w="845"/>
        <w:gridCol w:w="453"/>
        <w:gridCol w:w="884"/>
        <w:gridCol w:w="1161"/>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40.067</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$38.05 to $41.72, inclusive. The reporting person undertakes to provide Claritev Corporation, any security holder of Claritev Corporation, or the staff of the Securities and Exchange Commission,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Kent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1258" TargetMode="External"/><Relationship Id="rId5" Type="http://schemas.openxmlformats.org/officeDocument/2006/relationships/hyperlink" Target="http://www.sec.gov/cgi-bin/browse-edgar?action=getcompany&amp;CIK=0001793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3521</Characters>
  <CharactersWithSpaces>4098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