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181171.xml.htm"/>
      <w:bookmarkStart w:id="1" w:name="kswkform4_17921811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Misencik Tiffani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CLARITEV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7900 TYSONS ONE PLACE,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MCLEAN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Claritev Corp</w:t>
              </w:r>
            </w:hyperlink>
            <w:r>
              <w:rPr/>
              <w:t xml:space="preserve"> [ </w:t>
            </w:r>
            <w:r>
              <w:rPr>
                <w:rFonts w:ascii="Times;serif" w:hAnsi="Times;serif"/>
                <w:color w:val="0000FF"/>
                <w:sz w:val="24"/>
                <w:shd w:fill="FFFFFF" w:val="clear"/>
              </w:rPr>
              <w:t>CTEV</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Growth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4"/>
        <w:gridCol w:w="916"/>
        <w:gridCol w:w="785"/>
        <w:gridCol w:w="608"/>
        <w:gridCol w:w="348"/>
        <w:gridCol w:w="839"/>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9,994</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23.94</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113,729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5,812</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23.8111</w:t>
            </w:r>
            <w:r>
              <w:rPr>
                <w:rFonts w:ascii="Times;serif" w:hAnsi="Times;serif"/>
                <w:color w:val="008000"/>
                <w:position w:val="7"/>
                <w:sz w:val="16"/>
                <w:sz w:val="20"/>
                <w:shd w:fill="FFFFFF" w:val="clear"/>
              </w:rPr>
              <w:t>(2)</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107,917</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to pay taxes applicable to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$23.0800 to $24.0800, inclusive. The reporting person undertakes to provide Claritev Corporation, any security holder of Claritev Corporation, or the staff of the Securities and Exchange Commission, upon request, full information regarding the number of shares sold at each separate price within the ranges set forth in this footnote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Kent Bartholomew,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41258" TargetMode="External"/><Relationship Id="rId5" Type="http://schemas.openxmlformats.org/officeDocument/2006/relationships/hyperlink" Target="http://www.sec.gov/cgi-bin/browse-edgar?action=getcompany&amp;CIK=00017932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671</Words>
  <Characters>3655</Characters>
  <CharactersWithSpaces>4248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