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9048.xml.htm"/>
      <w:bookmarkStart w:id="1" w:name="kswkform4_1790109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Garis Douglas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CLARITEV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7900 TYSONS ONE PLACE,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Claritev Corp</w:t>
              </w:r>
            </w:hyperlink>
            <w:r>
              <w:rPr/>
              <w:t xml:space="preserve"> [ </w:t>
            </w:r>
            <w:r>
              <w:rPr>
                <w:rFonts w:ascii="Times;serif" w:hAnsi="Times;serif"/>
                <w:color w:val="0000FF"/>
                <w:sz w:val="24"/>
                <w:shd w:fill="FFFFFF" w:val="clear"/>
              </w:rPr>
              <w:t>CTEV</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EVP&amp;CFO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19"/>
        <w:gridCol w:w="789"/>
        <w:gridCol w:w="610"/>
        <w:gridCol w:w="342"/>
        <w:gridCol w:w="818"/>
        <w:gridCol w:w="427"/>
        <w:gridCol w:w="991"/>
        <w:gridCol w:w="1125"/>
        <w:gridCol w:w="973"/>
        <w:gridCol w:w="12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30.5021</w:t>
            </w: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186,564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31.1934</w:t>
            </w: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185,416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19,927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Spouse's Individual Retirement Account</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45,810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Reporting Person's Individual Retirement Account</w:t>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Daughter's Individual Retirement Account</w:t>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Son's Individual Retirement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$29.9900 to $30.9800, inclusive. The reporting person undertakes to provide Claritev Corporation, any security holder of Claritev Corporation,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$31.0100 to $31.5500, inclusive. The reporting person undertakes to provide Claritev Corporation, any security holder of Claritev Corporation,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Kent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2799" TargetMode="External"/><Relationship Id="rId5" Type="http://schemas.openxmlformats.org/officeDocument/2006/relationships/hyperlink" Target="http://www.sec.gov/cgi-bin/browse-edgar?action=getcompany&amp;CIK=0001793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4317</Characters>
  <CharactersWithSpaces>5015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