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ARES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Claritev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CTEV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60" w:type="dxa"/>
            <w:vAlign w:val="bottom"/>
            <w:tcBorders>
              <w:bottom w:val="single" w:sz="8" w:color="2C2C2C"/>
            </w:tcBorders>
          </w:tcPr>
          <w:p>
            <w:pPr>
              <w:spacing w:after="0"/>
              <w:rPr>
                <w:sz w:val="19"/>
                <w:szCs w:val="19"/>
                <w:color w:val="auto"/>
              </w:rPr>
            </w:pPr>
          </w:p>
        </w:tc>
        <w:tc>
          <w:tcPr>
            <w:tcW w:w="25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3140" w:type="dxa"/>
            <w:vAlign w:val="bottom"/>
          </w:tcPr>
          <w:p>
            <w:pPr>
              <w:ind w:left="28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1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10/23/2026</w:t>
            </w:r>
          </w:p>
        </w:tc>
        <w:tc>
          <w:tcPr>
            <w:tcW w:w="0" w:type="dxa"/>
            <w:vAlign w:val="bottom"/>
          </w:tcPr>
          <w:p>
            <w:pPr>
              <w:spacing w:after="0"/>
              <w:rPr>
                <w:sz w:val="1"/>
                <w:szCs w:val="1"/>
                <w:color w:val="auto"/>
              </w:rPr>
            </w:pPr>
          </w:p>
        </w:tc>
      </w:tr>
      <w:tr>
        <w:trPr>
          <w:trHeight w:val="67"/>
        </w:trPr>
        <w:tc>
          <w:tcPr>
            <w:tcW w:w="3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2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396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960" w:type="dxa"/>
            <w:vAlign w:val="bottom"/>
            <w:gridSpan w:val="10"/>
            <w:vMerge w:val="continue"/>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580" w:type="dxa"/>
            <w:vAlign w:val="bottom"/>
          </w:tcPr>
          <w:p>
            <w:pPr>
              <w:spacing w:after="0"/>
              <w:rPr>
                <w:sz w:val="17"/>
                <w:szCs w:val="17"/>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1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gridSpan w:val="2"/>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2. Transaction</w:t>
            </w:r>
          </w:p>
        </w:tc>
        <w:tc>
          <w:tcPr>
            <w:tcW w:w="20" w:type="dxa"/>
            <w:vAlign w:val="bottom"/>
          </w:tcPr>
          <w:p>
            <w:pPr>
              <w:spacing w:after="0"/>
              <w:rPr>
                <w:sz w:val="15"/>
                <w:szCs w:val="15"/>
                <w:color w:val="auto"/>
              </w:rPr>
            </w:pP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92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Transaction(s)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w w:val="99"/>
              </w:rPr>
              <w:t>(Instr. 3 and 4)</w:t>
            </w:r>
          </w:p>
        </w:tc>
        <w:tc>
          <w:tcPr>
            <w:tcW w:w="9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gridSpan w:val="3"/>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10/23/2026</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Pr>
          <w:p>
            <w:pPr>
              <w:spacing w:after="0"/>
              <w:rPr>
                <w:sz w:val="21"/>
                <w:szCs w:val="21"/>
                <w:color w:val="auto"/>
              </w:rPr>
            </w:pPr>
          </w:p>
        </w:tc>
        <w:tc>
          <w:tcPr>
            <w:tcW w:w="80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50,000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23.5328</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9"/>
              </w:rPr>
              <w:t>1,913,105</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gridSpan w:val="3"/>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10/26/2026</w:t>
            </w: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20,834</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24.0696</w:t>
            </w:r>
          </w:p>
        </w:tc>
        <w:tc>
          <w:tcPr>
            <w:tcW w:w="9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9"/>
              </w:rPr>
              <w:t>1,933,939</w:t>
            </w:r>
          </w:p>
        </w:tc>
        <w:tc>
          <w:tcPr>
            <w:tcW w:w="900" w:type="dxa"/>
            <w:vAlign w:val="bottom"/>
            <w:tcBorders>
              <w:top w:val="single" w:sz="8" w:color="2C2C2C"/>
            </w:tcBorders>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140" w:type="dxa"/>
            <w:vAlign w:val="bottom"/>
            <w:gridSpan w:val="17"/>
          </w:tcPr>
          <w:p>
            <w:pPr>
              <w:jc w:val="center"/>
              <w:ind w:right="83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5"/>
          </w:tcPr>
          <w:p>
            <w:pPr>
              <w:jc w:val="center"/>
              <w:ind w:right="2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4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ARES MANAGEMENT LLC</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tcPr>
          <w:p>
            <w:pPr>
              <w:jc w:val="center"/>
              <w:ind w:left="17"/>
              <w:spacing w:after="0"/>
              <w:rPr>
                <w:sz w:val="20"/>
                <w:szCs w:val="20"/>
                <w:color w:val="auto"/>
              </w:rPr>
            </w:pPr>
            <w:r>
              <w:rPr>
                <w:rFonts w:ascii="Times New Roman" w:cs="Times New Roman" w:eastAsia="Times New Roman" w:hAnsi="Times New Roman"/>
                <w:sz w:val="17"/>
                <w:szCs w:val="17"/>
                <w:color w:val="0000FF"/>
              </w:rPr>
              <w:t>90067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ASOF Investment Management LLC</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-1143000</wp:posOffset>
            </wp:positionV>
            <wp:extent cx="28092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7">
              <w:r>
                <w:rPr>
                  <w:rFonts w:ascii="Times New Roman" w:cs="Times New Roman" w:eastAsia="Times New Roman" w:hAnsi="Times New Roman"/>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8">
              <w:r>
                <w:rPr>
                  <w:rFonts w:ascii="Times New Roman" w:cs="Times New Roman" w:eastAsia="Times New Roman" w:hAnsi="Times New Roman"/>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9">
              <w:r>
                <w:rPr>
                  <w:rFonts w:ascii="Times New Roman" w:cs="Times New Roman" w:eastAsia="Times New Roman" w:hAnsi="Times New Roman"/>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-4497705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-4497705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-3795395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-3795395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-3143885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-3143885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-2712720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-2712720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-2010410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-2010410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-1358900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-1358900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47">
              <w:r>
                <w:rPr>
                  <w:rFonts w:ascii="Times New Roman" w:cs="Times New Roman" w:eastAsia="Times New Roman" w:hAnsi="Times New Roman"/>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2673985" cy="29845"/>
                    </a:xfrm>
                    <a:prstGeom prst="rect">
                      <a:avLst/>
                    </a:prstGeom>
                    <a:noFill/>
                  </pic:spPr>
                </pic:pic>
              </a:graphicData>
            </a:graphic>
          </wp:anchor>
        </w:drawing>
      </w:r>
    </w:p>
    <w:p>
      <w:pPr>
        <w:sectPr>
          <w:pgSz w:w="11900" w:h="16838" w:orient="portrait"/>
          <w:cols w:equalWidth="0" w:num="1">
            <w:col w:w="9979"/>
          </w:cols>
          <w:pgMar w:left="480" w:top="125"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6"/>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-558800</wp:posOffset>
            </wp:positionV>
            <wp:extent cx="2809240" cy="638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herein includes (i) 1,578,588 shares of Class A Common Stock held by ASOF II Holdings I, L.P., (ii) 284,517 shares of Class A Common Stock held by ASOF II A (DE) Holdings I, L.P, and (iii) 70,834 shares of Class A Common Stock held by ASOF III Holdings I LP (together with ASOF II Holdings I, L.P and ASOF II A (DE) Holdings I, L.P, the "Ares Holders").</w:t>
      </w:r>
    </w:p>
    <w:p>
      <w:pPr>
        <w:spacing w:after="0" w:line="7"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the sole member of ASOF Investment Management LLC, which is the manager of each of the Ares Holders. Each of the foregoing entities may be deemed to share beneficial ownership of the securities reported herein, but each disclaims any such beneficial ownership of securities not held of record by them.</w:t>
      </w:r>
    </w:p>
    <w:p>
      <w:pPr>
        <w:spacing w:after="0" w:line="26"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Ares Partners is managed by a board of managers, which is composed of Michael J Arougheti,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each of ASOF II Holdings I, L.P., ASOF II A (DE) Holdings I, L.P., and ASOF III Holdings I LP are filing a separate Form 4.</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85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2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975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Evan Hoole,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1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Management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Anton 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Holdco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9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Anton 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9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Corporation,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Voting LLC,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0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Partners Holdco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9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8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8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13" Type="http://schemas.openxmlformats.org/officeDocument/2006/relationships/hyperlink" Target="http://www.sec.gov/cgi-bin/browse-edgar?action=getcompany&amp;CIK=0001259313" TargetMode="External"/><Relationship Id="rId14" Type="http://schemas.openxmlformats.org/officeDocument/2006/relationships/hyperlink" Target="http://www.sec.gov/cgi-bin/browse-edgar?action=getcompany&amp;CIK=0001793229" TargetMode="External"/><Relationship Id="rId16" Type="http://schemas.openxmlformats.org/officeDocument/2006/relationships/hyperlink" Target="http://www.sec.gov/cgi-bin/browse-edgar?action=getcompany&amp;CIK=0001793548" TargetMode="External"/><Relationship Id="rId18" Type="http://schemas.openxmlformats.org/officeDocument/2006/relationships/hyperlink" Target="http://www.sec.gov/cgi-bin/browse-edgar?action=getcompany&amp;CIK=0001536937" TargetMode="External"/><Relationship Id="rId21" Type="http://schemas.openxmlformats.org/officeDocument/2006/relationships/hyperlink" Target="http://www.sec.gov/cgi-bin/browse-edgar?action=getcompany&amp;CIK=0001669983" TargetMode="External"/><Relationship Id="rId27" Type="http://schemas.openxmlformats.org/officeDocument/2006/relationships/hyperlink" Target="http://www.sec.gov/cgi-bin/browse-edgar?action=getcompany&amp;CIK=0001176948" TargetMode="External"/><Relationship Id="rId28" Type="http://schemas.openxmlformats.org/officeDocument/2006/relationships/hyperlink" Target="http://www.sec.gov/cgi-bin/browse-edgar?action=getcompany&amp;CIK=0001761656" TargetMode="External"/><Relationship Id="rId29" Type="http://schemas.openxmlformats.org/officeDocument/2006/relationships/hyperlink" Target="http://www.sec.gov/cgi-bin/browse-edgar?action=getcompany&amp;CIK=0001620264" TargetMode="External"/><Relationship Id="rId47"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2026-10-27T15:50:48Z</dcterms:created>
  <dcterms:modified xsi:type="dcterms:W3CDTF">2026-10-27T15:50:48Z</dcterms:modified>
</cp:coreProperties>
</file>